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E0D" w:rsidRDefault="00E15E0D" w:rsidP="0035278D">
      <w:pPr>
        <w:shd w:val="clear" w:color="auto" w:fill="FFFFFF"/>
        <w:spacing w:after="0" w:line="240" w:lineRule="auto"/>
        <w:outlineLvl w:val="1"/>
        <w:rPr>
          <w:rFonts w:eastAsia="Times New Roman" w:cs="Arial"/>
          <w:b/>
          <w:bCs/>
          <w:sz w:val="32"/>
          <w:szCs w:val="32"/>
        </w:rPr>
      </w:pPr>
      <w:bookmarkStart w:id="0" w:name="_GoBack"/>
      <w:bookmarkEnd w:id="0"/>
    </w:p>
    <w:p w:rsidR="0035278D" w:rsidRDefault="00E15E0D" w:rsidP="0035278D">
      <w:pPr>
        <w:shd w:val="clear" w:color="auto" w:fill="FFFFFF"/>
        <w:spacing w:after="0" w:line="240" w:lineRule="auto"/>
        <w:outlineLvl w:val="1"/>
        <w:rPr>
          <w:rFonts w:eastAsia="Times New Roman" w:cs="Arial"/>
          <w:b/>
          <w:bCs/>
          <w:sz w:val="32"/>
          <w:szCs w:val="32"/>
        </w:rPr>
      </w:pPr>
      <w:r>
        <w:rPr>
          <w:rFonts w:eastAsia="Times New Roman" w:cs="Arial"/>
          <w:b/>
          <w:bCs/>
          <w:sz w:val="32"/>
          <w:szCs w:val="32"/>
        </w:rPr>
        <w:t xml:space="preserve">Program Coordination Team – </w:t>
      </w:r>
      <w:r w:rsidR="004900EF">
        <w:rPr>
          <w:rFonts w:eastAsia="Times New Roman" w:cs="Arial"/>
          <w:b/>
          <w:bCs/>
          <w:sz w:val="32"/>
          <w:szCs w:val="32"/>
        </w:rPr>
        <w:t>T</w:t>
      </w:r>
      <w:r>
        <w:rPr>
          <w:rFonts w:eastAsia="Times New Roman" w:cs="Arial"/>
          <w:b/>
          <w:bCs/>
          <w:sz w:val="32"/>
          <w:szCs w:val="32"/>
        </w:rPr>
        <w:t>erms of Reference</w:t>
      </w:r>
    </w:p>
    <w:p w:rsidR="00E15E0D" w:rsidRPr="0063745D" w:rsidRDefault="00E15E0D" w:rsidP="0035278D">
      <w:pPr>
        <w:shd w:val="clear" w:color="auto" w:fill="FFFFFF"/>
        <w:spacing w:after="0" w:line="240" w:lineRule="auto"/>
        <w:outlineLvl w:val="1"/>
        <w:rPr>
          <w:rFonts w:eastAsia="Times New Roman" w:cs="Arial"/>
          <w:b/>
          <w:bCs/>
          <w:sz w:val="32"/>
          <w:szCs w:val="32"/>
        </w:rPr>
      </w:pPr>
      <w:r>
        <w:rPr>
          <w:rFonts w:eastAsia="Times New Roman" w:cs="Arial"/>
          <w:b/>
          <w:bCs/>
          <w:sz w:val="32"/>
          <w:szCs w:val="32"/>
        </w:rPr>
        <w:t>February 2017</w:t>
      </w:r>
    </w:p>
    <w:p w:rsidR="0035278D" w:rsidRPr="0063745D" w:rsidRDefault="0035278D" w:rsidP="0035278D">
      <w:pPr>
        <w:shd w:val="clear" w:color="auto" w:fill="FFFFFF"/>
        <w:spacing w:after="0" w:line="240" w:lineRule="auto"/>
        <w:outlineLvl w:val="1"/>
        <w:rPr>
          <w:rFonts w:eastAsia="Times New Roman" w:cs="Arial"/>
          <w:b/>
          <w:bCs/>
          <w:sz w:val="24"/>
          <w:szCs w:val="24"/>
        </w:rPr>
      </w:pPr>
    </w:p>
    <w:p w:rsidR="0035278D" w:rsidRPr="0063745D" w:rsidRDefault="0035278D" w:rsidP="0035278D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E734AD" w:rsidRPr="00300444" w:rsidRDefault="0035278D" w:rsidP="00300444">
      <w:pPr>
        <w:rPr>
          <w:lang w:val="en-GB"/>
        </w:rPr>
      </w:pPr>
      <w:r w:rsidRPr="00300444">
        <w:rPr>
          <w:lang w:val="en-GB"/>
        </w:rPr>
        <w:t xml:space="preserve">The Africa RISING program has no </w:t>
      </w:r>
      <w:r w:rsidR="009C754B">
        <w:rPr>
          <w:lang w:val="en-GB"/>
        </w:rPr>
        <w:t xml:space="preserve">centralized </w:t>
      </w:r>
      <w:r w:rsidRPr="00300444">
        <w:rPr>
          <w:lang w:val="en-GB"/>
        </w:rPr>
        <w:t xml:space="preserve">management entity. </w:t>
      </w:r>
      <w:r w:rsidR="00E734AD" w:rsidRPr="00300444">
        <w:rPr>
          <w:lang w:val="en-GB"/>
        </w:rPr>
        <w:t>The</w:t>
      </w:r>
      <w:r w:rsidRPr="00300444">
        <w:rPr>
          <w:lang w:val="en-GB"/>
        </w:rPr>
        <w:t xml:space="preserve"> Program Coordination Team (PCT)</w:t>
      </w:r>
      <w:r w:rsidR="00E734AD" w:rsidRPr="00300444">
        <w:rPr>
          <w:lang w:val="en-GB"/>
        </w:rPr>
        <w:t>, taking decisions by consensus,</w:t>
      </w:r>
      <w:r w:rsidRPr="00300444">
        <w:rPr>
          <w:lang w:val="en-GB"/>
        </w:rPr>
        <w:t xml:space="preserve"> ensures a common understanding of </w:t>
      </w:r>
      <w:r w:rsidR="004900EF">
        <w:rPr>
          <w:lang w:val="en-GB"/>
        </w:rPr>
        <w:t>sustainable intensification (</w:t>
      </w:r>
      <w:r w:rsidRPr="00300444">
        <w:rPr>
          <w:lang w:val="en-GB"/>
        </w:rPr>
        <w:t>SI</w:t>
      </w:r>
      <w:r w:rsidR="004900EF">
        <w:rPr>
          <w:lang w:val="en-GB"/>
        </w:rPr>
        <w:t>)</w:t>
      </w:r>
      <w:r w:rsidRPr="00300444">
        <w:rPr>
          <w:lang w:val="en-GB"/>
        </w:rPr>
        <w:t xml:space="preserve"> and its potential contribution to FTF goals across the three </w:t>
      </w:r>
      <w:r w:rsidR="004900EF">
        <w:rPr>
          <w:lang w:val="en-GB"/>
        </w:rPr>
        <w:t xml:space="preserve">regional </w:t>
      </w:r>
      <w:r w:rsidRPr="00300444">
        <w:rPr>
          <w:lang w:val="en-GB"/>
        </w:rPr>
        <w:t xml:space="preserve">projects. The PCT also helps to identify opportunities for experience sharing and cross-project support, both informally and through an annual program learning event. Further, program-level scientific advice is </w:t>
      </w:r>
      <w:r w:rsidR="00E734AD" w:rsidRPr="00300444">
        <w:rPr>
          <w:lang w:val="en-GB"/>
        </w:rPr>
        <w:t>obtained from</w:t>
      </w:r>
      <w:r w:rsidRPr="00300444">
        <w:rPr>
          <w:lang w:val="en-GB"/>
        </w:rPr>
        <w:t xml:space="preserve"> the Science Advisory Group (SAG) </w:t>
      </w:r>
      <w:r w:rsidR="00FD0544">
        <w:rPr>
          <w:lang w:val="en-GB"/>
        </w:rPr>
        <w:t xml:space="preserve">that reports to the PCT and is </w:t>
      </w:r>
      <w:r w:rsidRPr="00300444">
        <w:rPr>
          <w:lang w:val="en-GB"/>
        </w:rPr>
        <w:t>compris</w:t>
      </w:r>
      <w:r w:rsidR="00FD0544">
        <w:rPr>
          <w:lang w:val="en-GB"/>
        </w:rPr>
        <w:t>ed of</w:t>
      </w:r>
      <w:r w:rsidRPr="00300444">
        <w:rPr>
          <w:lang w:val="en-GB"/>
        </w:rPr>
        <w:t xml:space="preserve"> external experts with experience relevant to various aspects of SI</w:t>
      </w:r>
      <w:r w:rsidR="00E734AD" w:rsidRPr="00300444">
        <w:rPr>
          <w:lang w:val="en-GB"/>
        </w:rPr>
        <w:t xml:space="preserve"> and other specialists as desired</w:t>
      </w:r>
      <w:r w:rsidRPr="00300444">
        <w:rPr>
          <w:lang w:val="en-GB"/>
        </w:rPr>
        <w:t>.</w:t>
      </w:r>
      <w:r w:rsidR="00300444">
        <w:rPr>
          <w:lang w:val="en-GB"/>
        </w:rPr>
        <w:t xml:space="preserve"> </w:t>
      </w:r>
      <w:r w:rsidR="00E734AD" w:rsidRPr="00300444">
        <w:rPr>
          <w:lang w:val="en-GB"/>
        </w:rPr>
        <w:t xml:space="preserve">The Communications Team has a secretarial role </w:t>
      </w:r>
      <w:r w:rsidR="00FD0544">
        <w:rPr>
          <w:lang w:val="en-GB"/>
        </w:rPr>
        <w:t xml:space="preserve">in the PCT </w:t>
      </w:r>
      <w:r w:rsidR="00E734AD" w:rsidRPr="00300444">
        <w:rPr>
          <w:lang w:val="en-GB"/>
        </w:rPr>
        <w:t xml:space="preserve">and reports on </w:t>
      </w:r>
      <w:r w:rsidR="00FD0544">
        <w:rPr>
          <w:lang w:val="en-GB"/>
        </w:rPr>
        <w:t>its</w:t>
      </w:r>
      <w:r w:rsidR="00FD0544" w:rsidRPr="00300444">
        <w:rPr>
          <w:lang w:val="en-GB"/>
        </w:rPr>
        <w:t xml:space="preserve"> </w:t>
      </w:r>
      <w:r w:rsidR="00E734AD" w:rsidRPr="00300444">
        <w:rPr>
          <w:lang w:val="en-GB"/>
        </w:rPr>
        <w:t>meetings.</w:t>
      </w:r>
    </w:p>
    <w:p w:rsidR="0035278D" w:rsidRPr="00300444" w:rsidRDefault="00300444" w:rsidP="0035278D">
      <w:pPr>
        <w:pStyle w:val="Heading2"/>
        <w:rPr>
          <w:rFonts w:asciiTheme="minorHAnsi" w:hAnsiTheme="minorHAnsi"/>
          <w:b w:val="0"/>
          <w:i/>
          <w:sz w:val="24"/>
          <w:szCs w:val="24"/>
        </w:rPr>
      </w:pPr>
      <w:bookmarkStart w:id="1" w:name="_Toc456339148"/>
      <w:bookmarkStart w:id="2" w:name="_Toc456367155"/>
      <w:bookmarkStart w:id="3" w:name="_Toc456368458"/>
      <w:bookmarkStart w:id="4" w:name="_Toc456809788"/>
      <w:bookmarkStart w:id="5" w:name="_Toc457385361"/>
      <w:bookmarkStart w:id="6" w:name="_Toc457414313"/>
      <w:r w:rsidRPr="00300444">
        <w:rPr>
          <w:rFonts w:asciiTheme="minorHAnsi" w:hAnsiTheme="minorHAnsi"/>
          <w:b w:val="0"/>
          <w:i/>
          <w:sz w:val="24"/>
          <w:szCs w:val="24"/>
        </w:rPr>
        <w:t>Role</w:t>
      </w:r>
      <w:bookmarkEnd w:id="1"/>
      <w:bookmarkEnd w:id="2"/>
      <w:bookmarkEnd w:id="3"/>
      <w:bookmarkEnd w:id="4"/>
      <w:bookmarkEnd w:id="5"/>
      <w:bookmarkEnd w:id="6"/>
      <w:r w:rsidRPr="00300444">
        <w:rPr>
          <w:rFonts w:asciiTheme="minorHAnsi" w:hAnsiTheme="minorHAnsi"/>
          <w:b w:val="0"/>
          <w:i/>
          <w:sz w:val="24"/>
          <w:szCs w:val="24"/>
        </w:rPr>
        <w:t>:</w:t>
      </w:r>
    </w:p>
    <w:p w:rsidR="0035278D" w:rsidRPr="00300444" w:rsidRDefault="0035278D" w:rsidP="0035278D">
      <w:pPr>
        <w:rPr>
          <w:lang w:val="en-GB"/>
        </w:rPr>
      </w:pPr>
      <w:r w:rsidRPr="00300444">
        <w:rPr>
          <w:lang w:val="en-GB"/>
        </w:rPr>
        <w:t xml:space="preserve">The PCT provides technical and managerial advice and coordination across the three </w:t>
      </w:r>
      <w:r w:rsidR="0071631F">
        <w:rPr>
          <w:lang w:val="en-GB"/>
        </w:rPr>
        <w:t xml:space="preserve">regional </w:t>
      </w:r>
      <w:r w:rsidRPr="00300444">
        <w:rPr>
          <w:lang w:val="en-GB"/>
        </w:rPr>
        <w:t>projects. By integrating the</w:t>
      </w:r>
      <w:r w:rsidR="0071631F">
        <w:rPr>
          <w:lang w:val="en-GB"/>
        </w:rPr>
        <w:t>se</w:t>
      </w:r>
      <w:r w:rsidRPr="00300444">
        <w:rPr>
          <w:lang w:val="en-GB"/>
        </w:rPr>
        <w:t xml:space="preserve"> projects into one coherent program, each region benefits from the experiences and successes in other regions.</w:t>
      </w:r>
    </w:p>
    <w:p w:rsidR="0035278D" w:rsidRPr="00300444" w:rsidRDefault="00300444" w:rsidP="0035278D">
      <w:pPr>
        <w:pStyle w:val="Body"/>
        <w:rPr>
          <w:rFonts w:asciiTheme="minorHAnsi" w:hAnsiTheme="minorHAnsi"/>
          <w:i/>
          <w:sz w:val="24"/>
          <w:lang w:val="en-GB"/>
        </w:rPr>
      </w:pPr>
      <w:r w:rsidRPr="00300444">
        <w:rPr>
          <w:rFonts w:asciiTheme="minorHAnsi" w:hAnsiTheme="minorHAnsi"/>
          <w:i/>
          <w:sz w:val="24"/>
          <w:lang w:val="en-GB"/>
        </w:rPr>
        <w:t>Terms of reference</w:t>
      </w:r>
      <w:r w:rsidR="0035278D" w:rsidRPr="00300444">
        <w:rPr>
          <w:rFonts w:asciiTheme="minorHAnsi" w:hAnsiTheme="minorHAnsi"/>
          <w:i/>
          <w:sz w:val="24"/>
          <w:lang w:val="en-GB"/>
        </w:rPr>
        <w:t>:</w:t>
      </w:r>
    </w:p>
    <w:p w:rsidR="0035278D" w:rsidRPr="00300444" w:rsidRDefault="0035278D" w:rsidP="0035278D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Provides an interface with the donor for the program and regional projects;</w:t>
      </w:r>
    </w:p>
    <w:p w:rsidR="00DE4B4D" w:rsidRPr="00300444" w:rsidRDefault="0035278D" w:rsidP="00DE4B4D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Provides support for coordination and integration, but not supervision, across projects;</w:t>
      </w:r>
    </w:p>
    <w:p w:rsidR="0035278D" w:rsidRPr="00300444" w:rsidRDefault="0035278D" w:rsidP="0035278D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Convenes</w:t>
      </w:r>
      <w:r w:rsidR="00E734AD" w:rsidRPr="00300444">
        <w:rPr>
          <w:rFonts w:asciiTheme="minorHAnsi" w:hAnsiTheme="minorHAnsi"/>
          <w:szCs w:val="22"/>
          <w:lang w:val="en-GB"/>
        </w:rPr>
        <w:t xml:space="preserve"> </w:t>
      </w:r>
      <w:r w:rsidRPr="00300444">
        <w:rPr>
          <w:rFonts w:asciiTheme="minorHAnsi" w:hAnsiTheme="minorHAnsi"/>
          <w:szCs w:val="22"/>
          <w:lang w:val="en-GB"/>
        </w:rPr>
        <w:t>/ s</w:t>
      </w:r>
      <w:r w:rsidR="00E734AD" w:rsidRPr="00300444">
        <w:rPr>
          <w:rFonts w:asciiTheme="minorHAnsi" w:hAnsiTheme="minorHAnsi"/>
          <w:szCs w:val="22"/>
          <w:lang w:val="en-GB"/>
        </w:rPr>
        <w:t xml:space="preserve">upports </w:t>
      </w:r>
      <w:r w:rsidRPr="00300444">
        <w:rPr>
          <w:rFonts w:asciiTheme="minorHAnsi" w:hAnsiTheme="minorHAnsi"/>
          <w:szCs w:val="22"/>
          <w:lang w:val="en-GB"/>
        </w:rPr>
        <w:t>/ approves the research approach design process, including consultation with the qualified external experts of the SAG;</w:t>
      </w:r>
    </w:p>
    <w:p w:rsidR="00FD0544" w:rsidRPr="00FD0544" w:rsidRDefault="0035278D" w:rsidP="00FD0544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Sets standards</w:t>
      </w:r>
      <w:r w:rsidR="00E734AD" w:rsidRPr="00300444">
        <w:rPr>
          <w:rFonts w:asciiTheme="minorHAnsi" w:hAnsiTheme="minorHAnsi"/>
          <w:szCs w:val="22"/>
          <w:lang w:val="en-GB"/>
        </w:rPr>
        <w:t xml:space="preserve">, </w:t>
      </w:r>
      <w:r w:rsidRPr="00300444">
        <w:rPr>
          <w:rFonts w:asciiTheme="minorHAnsi" w:hAnsiTheme="minorHAnsi"/>
          <w:szCs w:val="22"/>
          <w:lang w:val="en-GB"/>
        </w:rPr>
        <w:t>guidelines</w:t>
      </w:r>
      <w:r w:rsidR="00E734AD" w:rsidRPr="00300444">
        <w:rPr>
          <w:rFonts w:asciiTheme="minorHAnsi" w:hAnsiTheme="minorHAnsi"/>
          <w:szCs w:val="22"/>
          <w:lang w:val="en-GB"/>
        </w:rPr>
        <w:t xml:space="preserve"> and practices</w:t>
      </w:r>
      <w:r w:rsidRPr="00300444">
        <w:rPr>
          <w:rFonts w:asciiTheme="minorHAnsi" w:hAnsiTheme="minorHAnsi"/>
          <w:szCs w:val="22"/>
          <w:lang w:val="en-GB"/>
        </w:rPr>
        <w:t>, approves objectives</w:t>
      </w:r>
      <w:r w:rsidR="0071631F">
        <w:rPr>
          <w:rFonts w:asciiTheme="minorHAnsi" w:hAnsiTheme="minorHAnsi"/>
          <w:szCs w:val="22"/>
          <w:lang w:val="en-GB"/>
        </w:rPr>
        <w:t xml:space="preserve"> </w:t>
      </w:r>
      <w:r w:rsidRPr="00300444">
        <w:rPr>
          <w:rFonts w:asciiTheme="minorHAnsi" w:hAnsiTheme="minorHAnsi"/>
          <w:szCs w:val="22"/>
          <w:lang w:val="en-GB"/>
        </w:rPr>
        <w:t>/ outcomes, etc.</w:t>
      </w:r>
      <w:r w:rsidR="00E734AD" w:rsidRPr="00300444">
        <w:rPr>
          <w:rFonts w:asciiTheme="minorHAnsi" w:hAnsiTheme="minorHAnsi"/>
          <w:szCs w:val="22"/>
          <w:lang w:val="en-GB"/>
        </w:rPr>
        <w:t xml:space="preserve"> at program level</w:t>
      </w:r>
      <w:r w:rsidRPr="00300444">
        <w:rPr>
          <w:rFonts w:asciiTheme="minorHAnsi" w:hAnsiTheme="minorHAnsi"/>
          <w:szCs w:val="22"/>
          <w:lang w:val="en-GB"/>
        </w:rPr>
        <w:t>;</w:t>
      </w:r>
    </w:p>
    <w:p w:rsidR="0035278D" w:rsidRPr="00300444" w:rsidRDefault="0035278D" w:rsidP="0035278D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Facilitates good communication and learning</w:t>
      </w:r>
      <w:r w:rsidR="00E734AD" w:rsidRPr="00300444">
        <w:rPr>
          <w:rFonts w:asciiTheme="minorHAnsi" w:hAnsiTheme="minorHAnsi"/>
          <w:szCs w:val="22"/>
          <w:lang w:val="en-GB"/>
        </w:rPr>
        <w:t xml:space="preserve"> across the program</w:t>
      </w:r>
    </w:p>
    <w:p w:rsidR="0035278D" w:rsidRPr="00300444" w:rsidRDefault="0035278D" w:rsidP="0035278D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Advises on communications and M&amp;E teams’ work plans;</w:t>
      </w:r>
    </w:p>
    <w:p w:rsidR="0035278D" w:rsidRPr="00300444" w:rsidRDefault="0035278D" w:rsidP="0035278D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Determines the focus of an annual program-wide learning meeting;</w:t>
      </w:r>
    </w:p>
    <w:p w:rsidR="0035278D" w:rsidRDefault="0035278D" w:rsidP="0035278D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Promotes coordination, alignment, and integration with related research projects;</w:t>
      </w:r>
    </w:p>
    <w:p w:rsidR="00FD0544" w:rsidRPr="00300444" w:rsidRDefault="00FD0544" w:rsidP="0035278D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>
        <w:rPr>
          <w:rFonts w:asciiTheme="minorHAnsi" w:hAnsiTheme="minorHAnsi"/>
          <w:szCs w:val="22"/>
          <w:lang w:val="en-GB"/>
        </w:rPr>
        <w:t xml:space="preserve">Appoints the SAG </w:t>
      </w:r>
    </w:p>
    <w:p w:rsidR="0035278D" w:rsidRPr="00300444" w:rsidRDefault="0035278D" w:rsidP="0035278D">
      <w:pPr>
        <w:pStyle w:val="ListParagraph"/>
        <w:numPr>
          <w:ilvl w:val="0"/>
          <w:numId w:val="4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Meets annually face-to-fac</w:t>
      </w:r>
      <w:r w:rsidR="00300444" w:rsidRPr="00300444">
        <w:rPr>
          <w:rFonts w:asciiTheme="minorHAnsi" w:hAnsiTheme="minorHAnsi"/>
          <w:szCs w:val="22"/>
          <w:lang w:val="en-GB"/>
        </w:rPr>
        <w:t>e and virtually as required.</w:t>
      </w:r>
    </w:p>
    <w:p w:rsidR="00B86D46" w:rsidRDefault="00B86D46" w:rsidP="00B86D46">
      <w:pPr>
        <w:rPr>
          <w:sz w:val="24"/>
          <w:lang w:val="en-GB"/>
        </w:rPr>
      </w:pPr>
    </w:p>
    <w:p w:rsidR="0035278D" w:rsidRPr="00300444" w:rsidRDefault="00300444" w:rsidP="0035278D">
      <w:pPr>
        <w:pStyle w:val="Body"/>
        <w:rPr>
          <w:rFonts w:asciiTheme="minorHAnsi" w:hAnsiTheme="minorHAnsi"/>
          <w:i/>
          <w:sz w:val="24"/>
          <w:lang w:val="en-GB"/>
        </w:rPr>
      </w:pPr>
      <w:r>
        <w:rPr>
          <w:rFonts w:asciiTheme="minorHAnsi" w:hAnsiTheme="minorHAnsi"/>
          <w:i/>
          <w:sz w:val="24"/>
          <w:lang w:val="en-GB"/>
        </w:rPr>
        <w:t>Composition:</w:t>
      </w:r>
    </w:p>
    <w:p w:rsidR="0035278D" w:rsidRPr="00300444" w:rsidRDefault="0035278D" w:rsidP="0035278D">
      <w:pPr>
        <w:pStyle w:val="ListParagraph"/>
        <w:numPr>
          <w:ilvl w:val="0"/>
          <w:numId w:val="5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Chair: Rotates annually between IITA and ILRI</w:t>
      </w:r>
    </w:p>
    <w:p w:rsidR="0035278D" w:rsidRPr="00300444" w:rsidRDefault="0035278D" w:rsidP="0035278D">
      <w:pPr>
        <w:pStyle w:val="ListParagraph"/>
        <w:numPr>
          <w:ilvl w:val="0"/>
          <w:numId w:val="5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IITA Project Manager</w:t>
      </w:r>
    </w:p>
    <w:p w:rsidR="0035278D" w:rsidRPr="00300444" w:rsidRDefault="0035278D" w:rsidP="0035278D">
      <w:pPr>
        <w:pStyle w:val="ListParagraph"/>
        <w:numPr>
          <w:ilvl w:val="0"/>
          <w:numId w:val="5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ILRI Project Coordinator</w:t>
      </w:r>
    </w:p>
    <w:p w:rsidR="0035278D" w:rsidRPr="00300444" w:rsidRDefault="0035278D" w:rsidP="0035278D">
      <w:pPr>
        <w:pStyle w:val="ListParagraph"/>
        <w:numPr>
          <w:ilvl w:val="0"/>
          <w:numId w:val="5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Monitoring and Evaluation team lead</w:t>
      </w:r>
    </w:p>
    <w:p w:rsidR="0035278D" w:rsidRPr="00300444" w:rsidRDefault="0035278D" w:rsidP="0035278D">
      <w:pPr>
        <w:pStyle w:val="ListParagraph"/>
        <w:numPr>
          <w:ilvl w:val="0"/>
          <w:numId w:val="5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Communications team lead</w:t>
      </w:r>
    </w:p>
    <w:p w:rsidR="0035278D" w:rsidRPr="00300444" w:rsidRDefault="0035278D" w:rsidP="00DD2978">
      <w:pPr>
        <w:pStyle w:val="ListParagraph"/>
        <w:numPr>
          <w:ilvl w:val="0"/>
          <w:numId w:val="5"/>
        </w:numPr>
        <w:rPr>
          <w:rFonts w:asciiTheme="minorHAnsi" w:hAnsiTheme="minorHAnsi"/>
          <w:szCs w:val="22"/>
          <w:lang w:val="en-GB"/>
        </w:rPr>
      </w:pPr>
      <w:r w:rsidRPr="00300444">
        <w:rPr>
          <w:rFonts w:asciiTheme="minorHAnsi" w:hAnsiTheme="minorHAnsi"/>
          <w:szCs w:val="22"/>
          <w:lang w:val="en-GB"/>
        </w:rPr>
        <w:t>USAID Activity Manager</w:t>
      </w:r>
    </w:p>
    <w:sectPr w:rsidR="0035278D" w:rsidRPr="0030044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DE1" w:rsidRDefault="00157DE1" w:rsidP="009C754B">
      <w:pPr>
        <w:spacing w:after="0" w:line="240" w:lineRule="auto"/>
      </w:pPr>
      <w:r>
        <w:separator/>
      </w:r>
    </w:p>
  </w:endnote>
  <w:endnote w:type="continuationSeparator" w:id="0">
    <w:p w:rsidR="00157DE1" w:rsidRDefault="00157DE1" w:rsidP="009C7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DE1" w:rsidRDefault="00157DE1" w:rsidP="009C754B">
      <w:pPr>
        <w:spacing w:after="0" w:line="240" w:lineRule="auto"/>
      </w:pPr>
      <w:r>
        <w:separator/>
      </w:r>
    </w:p>
  </w:footnote>
  <w:footnote w:type="continuationSeparator" w:id="0">
    <w:p w:rsidR="00157DE1" w:rsidRDefault="00157DE1" w:rsidP="009C7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54B" w:rsidRDefault="009C754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-913130</wp:posOffset>
          </wp:positionH>
          <wp:positionV relativeFrom="paragraph">
            <wp:posOffset>-457200</wp:posOffset>
          </wp:positionV>
          <wp:extent cx="7854315" cy="1151890"/>
          <wp:effectExtent l="0" t="0" r="0" b="0"/>
          <wp:wrapTight wrapText="bothSides">
            <wp:wrapPolygon edited="0">
              <wp:start x="0" y="0"/>
              <wp:lineTo x="0" y="21076"/>
              <wp:lineTo x="21532" y="21076"/>
              <wp:lineTo x="21532" y="0"/>
              <wp:lineTo x="0" y="0"/>
            </wp:wrapPolygon>
          </wp:wrapTight>
          <wp:docPr id="1" name="Picture 1" descr="C:\Documents and Settings\oorowale\Desktop\AFrica RISING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oorowale\Desktop\AFrica RISING LOGO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315" cy="1151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2891"/>
    <w:multiLevelType w:val="hybridMultilevel"/>
    <w:tmpl w:val="D5A24820"/>
    <w:lvl w:ilvl="0" w:tplc="EE7C9D64">
      <w:start w:val="1"/>
      <w:numFmt w:val="bullet"/>
      <w:lvlText w:val="●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957C0"/>
    <w:multiLevelType w:val="hybridMultilevel"/>
    <w:tmpl w:val="36E67198"/>
    <w:lvl w:ilvl="0" w:tplc="EE7C9D64">
      <w:start w:val="1"/>
      <w:numFmt w:val="bullet"/>
      <w:lvlText w:val="●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9B03D4"/>
    <w:multiLevelType w:val="hybridMultilevel"/>
    <w:tmpl w:val="FA30BA0E"/>
    <w:lvl w:ilvl="0" w:tplc="EE7C9D64">
      <w:start w:val="1"/>
      <w:numFmt w:val="bullet"/>
      <w:lvlText w:val="●"/>
      <w:lvlJc w:val="left"/>
      <w:pPr>
        <w:ind w:left="36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FE4910"/>
    <w:multiLevelType w:val="multilevel"/>
    <w:tmpl w:val="711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  <w:lvlOverride w:ilvl="1">
      <w:lvl w:ilvl="1">
        <w:numFmt w:val="decimal"/>
        <w:lvlText w:val="%2."/>
        <w:lvlJc w:val="left"/>
      </w:lvl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DEF"/>
    <w:rsid w:val="00106881"/>
    <w:rsid w:val="0012766A"/>
    <w:rsid w:val="00133513"/>
    <w:rsid w:val="00157DE1"/>
    <w:rsid w:val="00231B8F"/>
    <w:rsid w:val="00300444"/>
    <w:rsid w:val="0035278D"/>
    <w:rsid w:val="004900EF"/>
    <w:rsid w:val="0063745D"/>
    <w:rsid w:val="0071631F"/>
    <w:rsid w:val="009C754B"/>
    <w:rsid w:val="00A50DEF"/>
    <w:rsid w:val="00B86D46"/>
    <w:rsid w:val="00C20FA6"/>
    <w:rsid w:val="00C75003"/>
    <w:rsid w:val="00DA1CAB"/>
    <w:rsid w:val="00DE4B4D"/>
    <w:rsid w:val="00E15E0D"/>
    <w:rsid w:val="00E734AD"/>
    <w:rsid w:val="00F46C69"/>
    <w:rsid w:val="00FD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657E14-4CD2-410E-A544-11F2D494C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0D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0DE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50DEF"/>
    <w:rPr>
      <w:color w:val="0000FF"/>
      <w:u w:val="singl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A5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50DE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0DE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50DE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0DEF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aliases w:val="References,Indent Paragraph,Lettre d'introduction,Heading 2_sj,Dot pt,List Paragraph Char Char Char,Indicator Text,List Paragraph1,Numbered Para 1,List Paragraph12,Bullet Points,MAIN CONTENT,Bullet 1,List Paragraph (numbered (a)),Bullit"/>
    <w:basedOn w:val="Normal"/>
    <w:link w:val="ListParagraphChar"/>
    <w:uiPriority w:val="34"/>
    <w:qFormat/>
    <w:rsid w:val="0035278D"/>
    <w:pPr>
      <w:spacing w:after="0" w:line="240" w:lineRule="auto"/>
      <w:ind w:left="720"/>
      <w:contextualSpacing/>
    </w:pPr>
    <w:rPr>
      <w:rFonts w:asciiTheme="majorHAnsi" w:eastAsiaTheme="minorEastAsia" w:hAnsiTheme="majorHAnsi"/>
      <w:szCs w:val="24"/>
    </w:rPr>
  </w:style>
  <w:style w:type="character" w:customStyle="1" w:styleId="ListParagraphChar">
    <w:name w:val="List Paragraph Char"/>
    <w:aliases w:val="References Char,Indent Paragraph Char,Lettre d'introduction Char,Heading 2_sj Char,Dot pt Char,List Paragraph Char Char Char Char,Indicator Text Char,List Paragraph1 Char,Numbered Para 1 Char,List Paragraph12 Char,Bullet Points Char"/>
    <w:basedOn w:val="DefaultParagraphFont"/>
    <w:link w:val="ListParagraph"/>
    <w:uiPriority w:val="34"/>
    <w:rsid w:val="0035278D"/>
    <w:rPr>
      <w:rFonts w:asciiTheme="majorHAnsi" w:eastAsiaTheme="minorEastAsia" w:hAnsiTheme="majorHAnsi"/>
      <w:szCs w:val="24"/>
    </w:rPr>
  </w:style>
  <w:style w:type="paragraph" w:customStyle="1" w:styleId="Body">
    <w:name w:val="Body"/>
    <w:basedOn w:val="Normal"/>
    <w:link w:val="BodyChar"/>
    <w:qFormat/>
    <w:rsid w:val="0035278D"/>
    <w:pPr>
      <w:spacing w:line="240" w:lineRule="auto"/>
    </w:pPr>
    <w:rPr>
      <w:rFonts w:ascii="Calibri" w:eastAsia="Cambria" w:hAnsi="Calibri" w:cs="Times New Roman"/>
      <w:szCs w:val="24"/>
    </w:rPr>
  </w:style>
  <w:style w:type="character" w:customStyle="1" w:styleId="BodyChar">
    <w:name w:val="Body Char"/>
    <w:link w:val="Body"/>
    <w:rsid w:val="0035278D"/>
    <w:rPr>
      <w:rFonts w:ascii="Calibri" w:eastAsia="Cambria" w:hAnsi="Calibri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E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163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63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63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3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31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75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54B"/>
  </w:style>
  <w:style w:type="paragraph" w:styleId="Footer">
    <w:name w:val="footer"/>
    <w:basedOn w:val="Normal"/>
    <w:link w:val="FooterChar"/>
    <w:uiPriority w:val="99"/>
    <w:unhideWhenUsed/>
    <w:rsid w:val="009C75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1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7743">
          <w:marLeft w:val="0"/>
          <w:marRight w:val="8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96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1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8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4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1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Vanlauwe, Bernard</dc:creator>
  <cp:lastModifiedBy>Ballantyne, Peter (ILRI)</cp:lastModifiedBy>
  <cp:revision>3</cp:revision>
  <dcterms:created xsi:type="dcterms:W3CDTF">2017-02-10T18:57:00Z</dcterms:created>
  <dcterms:modified xsi:type="dcterms:W3CDTF">2017-02-10T19:22:00Z</dcterms:modified>
</cp:coreProperties>
</file>